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A6C" w:rsidRPr="00430C15" w:rsidRDefault="00C06A6C" w:rsidP="00C06A6C">
      <w:pPr>
        <w:rPr>
          <w:rFonts w:ascii="Palatino Linotype" w:hAnsi="Palatino Linotype"/>
          <w:b/>
          <w:sz w:val="24"/>
        </w:rPr>
      </w:pPr>
      <w:r w:rsidRPr="00430C15">
        <w:rPr>
          <w:rFonts w:ascii="Palatino Linotype" w:hAnsi="Palatino Linotype"/>
          <w:b/>
          <w:sz w:val="24"/>
        </w:rPr>
        <w:t>THE NATIONAL ARCHIVES</w:t>
      </w:r>
    </w:p>
    <w:p w:rsidR="00C06A6C" w:rsidRPr="00430C15" w:rsidRDefault="00C06A6C" w:rsidP="00C06A6C">
      <w:pPr>
        <w:rPr>
          <w:rFonts w:ascii="Palatino Linotype" w:hAnsi="Palatino Linotype"/>
          <w:b/>
          <w:sz w:val="24"/>
        </w:rPr>
      </w:pPr>
    </w:p>
    <w:p w:rsidR="00C06A6C" w:rsidRPr="00430C15" w:rsidRDefault="00C06A6C" w:rsidP="00C06A6C">
      <w:pPr>
        <w:rPr>
          <w:rFonts w:ascii="Palatino Linotype" w:hAnsi="Palatino Linotype"/>
          <w:b/>
          <w:sz w:val="24"/>
        </w:rPr>
      </w:pPr>
      <w:r w:rsidRPr="00430C15">
        <w:rPr>
          <w:rFonts w:ascii="Palatino Linotype" w:hAnsi="Palatino Linotype"/>
          <w:b/>
          <w:sz w:val="24"/>
        </w:rPr>
        <w:t>CHANCERY DECREES AND ORDERS</w:t>
      </w:r>
    </w:p>
    <w:p w:rsidR="00C06A6C" w:rsidRPr="00430C15" w:rsidRDefault="00C06A6C" w:rsidP="00C06A6C">
      <w:pPr>
        <w:rPr>
          <w:rFonts w:ascii="Palatino Linotype" w:hAnsi="Palatino Linotype"/>
          <w:b/>
          <w:sz w:val="24"/>
        </w:rPr>
      </w:pPr>
    </w:p>
    <w:p w:rsidR="00C06A6C" w:rsidRPr="007C5A71" w:rsidRDefault="00C06A6C" w:rsidP="00C06A6C">
      <w:pPr>
        <w:spacing w:after="120"/>
        <w:rPr>
          <w:rFonts w:ascii="Palatino Linotype" w:hAnsi="Palatino Linotype"/>
          <w:b/>
          <w:sz w:val="24"/>
        </w:rPr>
      </w:pPr>
      <w:r w:rsidRPr="007C5A71">
        <w:rPr>
          <w:rFonts w:ascii="Palatino Linotype" w:hAnsi="Palatino Linotype"/>
          <w:b/>
          <w:sz w:val="24"/>
        </w:rPr>
        <w:t>Calendars of Orders and Decrees</w:t>
      </w:r>
    </w:p>
    <w:p w:rsidR="00C06A6C" w:rsidRDefault="00C06A6C" w:rsidP="00C06A6C">
      <w:pPr>
        <w:spacing w:after="120"/>
        <w:rPr>
          <w:rFonts w:ascii="Palatino Linotype" w:hAnsi="Palatino Linotype"/>
          <w:sz w:val="24"/>
        </w:rPr>
      </w:pPr>
      <w:r>
        <w:rPr>
          <w:rFonts w:ascii="Palatino Linotype" w:hAnsi="Palatino Linotype"/>
          <w:sz w:val="24"/>
        </w:rPr>
        <w:t>These are arranged chronologically by law term, then alphabetically by the initial letter of the surname of the principal plaintiff</w:t>
      </w:r>
    </w:p>
    <w:p w:rsidR="00C06A6C" w:rsidRPr="00430C15" w:rsidRDefault="00C06A6C" w:rsidP="00C06A6C">
      <w:pPr>
        <w:rPr>
          <w:rFonts w:ascii="Palatino Linotype" w:hAnsi="Palatino Linotype"/>
          <w:i/>
          <w:sz w:val="24"/>
        </w:rPr>
      </w:pPr>
      <w:r w:rsidRPr="00430C15">
        <w:rPr>
          <w:rFonts w:ascii="Palatino Linotype" w:hAnsi="Palatino Linotype"/>
          <w:i/>
          <w:sz w:val="24"/>
        </w:rPr>
        <w:t>Search for all Morry entries 1811 to 1822</w:t>
      </w:r>
    </w:p>
    <w:p w:rsidR="00C06A6C" w:rsidRPr="00A86154" w:rsidRDefault="00C06A6C" w:rsidP="00C06A6C">
      <w:pPr>
        <w:rPr>
          <w:rFonts w:ascii="Palatino Linotype" w:hAnsi="Palatino Linotype"/>
          <w:i/>
          <w:sz w:val="24"/>
        </w:rPr>
      </w:pPr>
      <w:r w:rsidRPr="00A86154">
        <w:rPr>
          <w:rFonts w:ascii="Palatino Linotype" w:hAnsi="Palatino Linotype"/>
          <w:i/>
          <w:sz w:val="24"/>
        </w:rPr>
        <w:t xml:space="preserve">Those where the original record has been seen marked in </w:t>
      </w:r>
      <w:r w:rsidRPr="00A86154">
        <w:rPr>
          <w:rFonts w:ascii="Palatino Linotype" w:hAnsi="Palatino Linotype"/>
          <w:i/>
          <w:sz w:val="24"/>
          <w:highlight w:val="lightGray"/>
        </w:rPr>
        <w:t>grey</w:t>
      </w:r>
    </w:p>
    <w:p w:rsidR="00C06A6C" w:rsidRDefault="00C06A6C" w:rsidP="00C06A6C">
      <w:pPr>
        <w:rPr>
          <w:rFonts w:ascii="Palatino Linotype" w:hAnsi="Palatino Linotype"/>
          <w:b/>
          <w:sz w:val="24"/>
        </w:rPr>
      </w:pPr>
    </w:p>
    <w:p w:rsidR="00C06A6C" w:rsidRPr="00B73508" w:rsidRDefault="00C06A6C" w:rsidP="00C06A6C">
      <w:pPr>
        <w:rPr>
          <w:rFonts w:ascii="Palatino Linotype" w:hAnsi="Palatino Linotype"/>
          <w:b/>
          <w:sz w:val="24"/>
        </w:rPr>
      </w:pPr>
      <w:r w:rsidRPr="00B73508">
        <w:rPr>
          <w:rFonts w:ascii="Palatino Linotype" w:hAnsi="Palatino Linotype"/>
          <w:b/>
          <w:sz w:val="24"/>
        </w:rPr>
        <w:t>IND 1/10699/</w:t>
      </w:r>
      <w:r>
        <w:rPr>
          <w:rFonts w:ascii="Palatino Linotype" w:hAnsi="Palatino Linotype"/>
          <w:b/>
          <w:sz w:val="24"/>
        </w:rPr>
        <w:t>40</w:t>
      </w:r>
    </w:p>
    <w:p w:rsidR="00C06A6C" w:rsidRDefault="00C06A6C" w:rsidP="00C06A6C">
      <w:pPr>
        <w:rPr>
          <w:rFonts w:ascii="Palatino Linotype" w:hAnsi="Palatino Linotype"/>
          <w:sz w:val="24"/>
        </w:rPr>
      </w:pPr>
      <w:r>
        <w:rPr>
          <w:rFonts w:ascii="Palatino Linotype" w:hAnsi="Palatino Linotype"/>
          <w:sz w:val="24"/>
        </w:rPr>
        <w:t>Michaelmas 1820 to Trinity 1821</w:t>
      </w:r>
    </w:p>
    <w:p w:rsidR="00C06A6C" w:rsidRDefault="00C06A6C" w:rsidP="00C06A6C">
      <w:pPr>
        <w:tabs>
          <w:tab w:val="left" w:pos="2880"/>
          <w:tab w:val="left" w:pos="4680"/>
        </w:tabs>
        <w:rPr>
          <w:rFonts w:ascii="Palatino Linotype" w:hAnsi="Palatino Linotype"/>
          <w:sz w:val="24"/>
        </w:rPr>
      </w:pPr>
      <w:r w:rsidRPr="0034216C">
        <w:rPr>
          <w:rFonts w:ascii="Palatino Linotype" w:hAnsi="Palatino Linotype"/>
          <w:sz w:val="24"/>
          <w:highlight w:val="lightGray"/>
        </w:rPr>
        <w:t>Morry v Prideaux</w:t>
      </w:r>
      <w:r w:rsidRPr="0034216C">
        <w:rPr>
          <w:rFonts w:ascii="Palatino Linotype" w:hAnsi="Palatino Linotype"/>
          <w:sz w:val="24"/>
          <w:highlight w:val="lightGray"/>
        </w:rPr>
        <w:tab/>
        <w:t>folio 81</w:t>
      </w:r>
      <w:r w:rsidRPr="0034216C">
        <w:rPr>
          <w:rFonts w:ascii="Palatino Linotype" w:hAnsi="Palatino Linotype"/>
          <w:sz w:val="24"/>
          <w:highlight w:val="lightGray"/>
        </w:rPr>
        <w:tab/>
        <w:t>C 33/684</w:t>
      </w:r>
    </w:p>
    <w:p w:rsidR="00046064" w:rsidRDefault="00046064">
      <w:pPr>
        <w:rPr>
          <w:rFonts w:ascii="Palatino Linotype" w:hAnsi="Palatino Linotype"/>
          <w:sz w:val="24"/>
        </w:rPr>
      </w:pPr>
    </w:p>
    <w:p w:rsidR="00C06A6C" w:rsidRPr="00430C15" w:rsidRDefault="00C06A6C" w:rsidP="00C06A6C">
      <w:pPr>
        <w:rPr>
          <w:rFonts w:ascii="Palatino Linotype" w:hAnsi="Palatino Linotype"/>
          <w:b/>
          <w:sz w:val="24"/>
        </w:rPr>
      </w:pPr>
      <w:r>
        <w:rPr>
          <w:rFonts w:ascii="Palatino Linotype" w:hAnsi="Palatino Linotype"/>
          <w:b/>
          <w:sz w:val="24"/>
        </w:rPr>
        <w:t>Original documents</w:t>
      </w:r>
    </w:p>
    <w:p w:rsidR="00C06A6C" w:rsidRDefault="00C06A6C"/>
    <w:p w:rsidR="00C06A6C" w:rsidRPr="00C06A6C" w:rsidRDefault="00C06A6C" w:rsidP="00C06A6C">
      <w:pPr>
        <w:tabs>
          <w:tab w:val="left" w:pos="2880"/>
          <w:tab w:val="left" w:pos="4680"/>
        </w:tabs>
        <w:ind w:left="720"/>
        <w:rPr>
          <w:rFonts w:ascii="Palatino Linotype" w:hAnsi="Palatino Linotype"/>
          <w:b/>
          <w:i/>
          <w:sz w:val="24"/>
        </w:rPr>
      </w:pPr>
      <w:r w:rsidRPr="00C06A6C">
        <w:rPr>
          <w:rFonts w:ascii="Palatino Linotype" w:hAnsi="Palatino Linotype"/>
          <w:b/>
          <w:i/>
          <w:sz w:val="24"/>
        </w:rPr>
        <w:t>C 33/684 folio 81</w:t>
      </w:r>
      <w:r>
        <w:rPr>
          <w:rStyle w:val="FootnoteReference"/>
          <w:rFonts w:ascii="Palatino Linotype" w:hAnsi="Palatino Linotype"/>
          <w:b/>
          <w:i/>
          <w:sz w:val="24"/>
        </w:rPr>
        <w:footnoteReference w:id="1"/>
      </w:r>
    </w:p>
    <w:p w:rsidR="00C06A6C" w:rsidRPr="00C06A6C" w:rsidRDefault="00C06A6C" w:rsidP="00C06A6C">
      <w:pPr>
        <w:tabs>
          <w:tab w:val="left" w:pos="2880"/>
          <w:tab w:val="left" w:pos="4680"/>
        </w:tabs>
        <w:ind w:left="720"/>
        <w:rPr>
          <w:rFonts w:ascii="Palatino Linotype" w:hAnsi="Palatino Linotype"/>
          <w:i/>
          <w:sz w:val="24"/>
        </w:rPr>
      </w:pPr>
      <w:r w:rsidRPr="00C06A6C">
        <w:rPr>
          <w:rFonts w:ascii="Palatino Linotype" w:hAnsi="Palatino Linotype"/>
          <w:i/>
          <w:sz w:val="24"/>
        </w:rPr>
        <w:t>Plaintiff: John Foale Morry an infant by Nicholas Brand Esq his next friend</w:t>
      </w:r>
    </w:p>
    <w:p w:rsidR="00C06A6C" w:rsidRPr="00C06A6C" w:rsidRDefault="00C06A6C" w:rsidP="00C06A6C">
      <w:pPr>
        <w:tabs>
          <w:tab w:val="left" w:pos="2880"/>
          <w:tab w:val="left" w:pos="4680"/>
        </w:tabs>
        <w:ind w:left="720"/>
        <w:rPr>
          <w:rFonts w:ascii="Palatino Linotype" w:hAnsi="Palatino Linotype"/>
          <w:i/>
          <w:sz w:val="24"/>
        </w:rPr>
      </w:pPr>
      <w:r w:rsidRPr="00C06A6C">
        <w:rPr>
          <w:rFonts w:ascii="Palatino Linotype" w:hAnsi="Palatino Linotype"/>
          <w:i/>
          <w:sz w:val="24"/>
        </w:rPr>
        <w:t>Defendant: Walter Prideaux and others</w:t>
      </w:r>
    </w:p>
    <w:p w:rsidR="00C06A6C" w:rsidRPr="00C06A6C" w:rsidRDefault="00C06A6C" w:rsidP="00C06A6C">
      <w:pPr>
        <w:tabs>
          <w:tab w:val="left" w:pos="2880"/>
          <w:tab w:val="left" w:pos="4680"/>
        </w:tabs>
        <w:ind w:left="720"/>
        <w:rPr>
          <w:rFonts w:ascii="Palatino Linotype" w:hAnsi="Palatino Linotype"/>
          <w:i/>
          <w:sz w:val="24"/>
        </w:rPr>
      </w:pPr>
      <w:r w:rsidRPr="00C06A6C">
        <w:rPr>
          <w:rFonts w:ascii="Palatino Linotype" w:hAnsi="Palatino Linotype"/>
          <w:i/>
          <w:sz w:val="24"/>
        </w:rPr>
        <w:t>Upon the humble petition of the above named defendants this day preferre</w:t>
      </w:r>
      <w:r>
        <w:rPr>
          <w:rFonts w:ascii="Palatino Linotype" w:hAnsi="Palatino Linotype"/>
          <w:i/>
          <w:sz w:val="24"/>
        </w:rPr>
        <w:t>d unto the Rt Hon</w:t>
      </w:r>
      <w:r w:rsidRPr="00C06A6C">
        <w:rPr>
          <w:rFonts w:ascii="Palatino Linotype" w:hAnsi="Palatino Linotype"/>
          <w:i/>
          <w:sz w:val="24"/>
        </w:rPr>
        <w:t xml:space="preserve"> the Master of the Rolls for the reasons therein contained it is ordered that publication in this cause be delayed until the 23</w:t>
      </w:r>
      <w:r w:rsidRPr="00C06A6C">
        <w:rPr>
          <w:rFonts w:ascii="Palatino Linotype" w:hAnsi="Palatino Linotype"/>
          <w:i/>
          <w:sz w:val="24"/>
          <w:vertAlign w:val="superscript"/>
        </w:rPr>
        <w:t>rd</w:t>
      </w:r>
      <w:r w:rsidRPr="00C06A6C">
        <w:rPr>
          <w:rFonts w:ascii="Palatino Linotype" w:hAnsi="Palatino Linotype"/>
          <w:i/>
          <w:sz w:val="24"/>
        </w:rPr>
        <w:t xml:space="preserve"> January next and the plaintiffs are to be at liberty to set down this cause for hearing in the meantime and that the petitioners have a commission for the examination of witnesses returnable without delay and that the plaintiff’s clerk in court do in 4 days after notice hereof join and strike commissioners names with the petitioner’s clerk in court or in default thereof that the petitioner have such commission directed to his own commissioner but in case the plaintiffs should not examine any witnesses the petitioner should bear the whole expense of the commission and also shall pay the plaintiff’s commission for their attendance on the execution of the commission, and hereof a notice is given forthwith</w:t>
      </w:r>
    </w:p>
    <w:p w:rsidR="00C06A6C" w:rsidRPr="00C06A6C" w:rsidRDefault="00C06A6C">
      <w:pPr>
        <w:rPr>
          <w:rFonts w:ascii="Palatino Linotype" w:hAnsi="Palatino Linotype"/>
          <w:sz w:val="24"/>
        </w:rPr>
      </w:pPr>
    </w:p>
    <w:p w:rsidR="00C06A6C" w:rsidRPr="00C06A6C" w:rsidRDefault="00C06A6C">
      <w:pPr>
        <w:rPr>
          <w:rFonts w:ascii="Palatino Linotype" w:hAnsi="Palatino Linotype"/>
          <w:sz w:val="24"/>
        </w:rPr>
      </w:pPr>
    </w:p>
    <w:p w:rsidR="00C06A6C" w:rsidRDefault="00C06A6C">
      <w:pPr>
        <w:rPr>
          <w:rFonts w:ascii="Palatino Linotype" w:hAnsi="Palatino Linotype"/>
          <w:b/>
          <w:sz w:val="24"/>
        </w:rPr>
      </w:pPr>
      <w:r w:rsidRPr="00C06A6C">
        <w:rPr>
          <w:rFonts w:ascii="Palatino Linotype" w:hAnsi="Palatino Linotype"/>
          <w:b/>
          <w:sz w:val="24"/>
        </w:rPr>
        <w:t>Editorial Comments:</w:t>
      </w:r>
    </w:p>
    <w:p w:rsidR="00C06A6C" w:rsidRDefault="00C06A6C">
      <w:pPr>
        <w:rPr>
          <w:rFonts w:ascii="Palatino Linotype" w:hAnsi="Palatino Linotype"/>
          <w:sz w:val="24"/>
        </w:rPr>
      </w:pPr>
    </w:p>
    <w:p w:rsidR="00C06A6C" w:rsidRPr="00C06A6C" w:rsidRDefault="00C06A6C">
      <w:pPr>
        <w:rPr>
          <w:rFonts w:ascii="Palatino Linotype" w:hAnsi="Palatino Linotype"/>
          <w:sz w:val="24"/>
        </w:rPr>
      </w:pPr>
      <w:r>
        <w:rPr>
          <w:rFonts w:ascii="Palatino Linotype" w:hAnsi="Palatino Linotype"/>
          <w:sz w:val="24"/>
        </w:rPr>
        <w:t>This seems</w:t>
      </w:r>
      <w:r w:rsidR="00C51463">
        <w:rPr>
          <w:rFonts w:ascii="Palatino Linotype" w:hAnsi="Palatino Linotype"/>
          <w:sz w:val="24"/>
        </w:rPr>
        <w:t>,</w:t>
      </w:r>
      <w:r>
        <w:rPr>
          <w:rFonts w:ascii="Palatino Linotype" w:hAnsi="Palatino Linotype"/>
          <w:sz w:val="24"/>
        </w:rPr>
        <w:t xml:space="preserve"> on the face of it</w:t>
      </w:r>
      <w:r w:rsidR="00C51463">
        <w:rPr>
          <w:rFonts w:ascii="Palatino Linotype" w:hAnsi="Palatino Linotype"/>
          <w:sz w:val="24"/>
        </w:rPr>
        <w:t>,</w:t>
      </w:r>
      <w:r>
        <w:rPr>
          <w:rFonts w:ascii="Palatino Linotype" w:hAnsi="Palatino Linotype"/>
          <w:sz w:val="24"/>
        </w:rPr>
        <w:t xml:space="preserve"> like a routine procedure whereby Prideaux, on behalf of his fellow defendants, Matthew Morry and William Cholwich Hunt</w:t>
      </w:r>
      <w:r w:rsidR="00C51463">
        <w:rPr>
          <w:rFonts w:ascii="Palatino Linotype" w:hAnsi="Palatino Linotype"/>
          <w:sz w:val="24"/>
        </w:rPr>
        <w:t>,</w:t>
      </w:r>
      <w:r>
        <w:rPr>
          <w:rFonts w:ascii="Palatino Linotype" w:hAnsi="Palatino Linotype"/>
          <w:sz w:val="24"/>
        </w:rPr>
        <w:t xml:space="preserve"> is asking the Court to set a time out for them to name Commissioners to interrogate their selected Deponents </w:t>
      </w:r>
      <w:r>
        <w:rPr>
          <w:rFonts w:ascii="Palatino Linotype" w:hAnsi="Palatino Linotype"/>
          <w:sz w:val="24"/>
        </w:rPr>
        <w:lastRenderedPageBreak/>
        <w:t>in the case. Of course, John Foale Morry’s lawyer has th</w:t>
      </w:r>
      <w:r w:rsidR="00C51463">
        <w:rPr>
          <w:rFonts w:ascii="Palatino Linotype" w:hAnsi="Palatino Linotype"/>
          <w:sz w:val="24"/>
        </w:rPr>
        <w:t>e right to cross examine these D</w:t>
      </w:r>
      <w:r>
        <w:rPr>
          <w:rFonts w:ascii="Palatino Linotype" w:hAnsi="Palatino Linotype"/>
          <w:sz w:val="24"/>
        </w:rPr>
        <w:t>eponents, but if he chooses to do so, John will have to share the costs of striking this Commission. Though not stated, this coul</w:t>
      </w:r>
      <w:r w:rsidR="00C51463">
        <w:rPr>
          <w:rFonts w:ascii="Palatino Linotype" w:hAnsi="Palatino Linotype"/>
          <w:sz w:val="24"/>
        </w:rPr>
        <w:t>d be quite a considerable expens</w:t>
      </w:r>
      <w:r>
        <w:rPr>
          <w:rFonts w:ascii="Palatino Linotype" w:hAnsi="Palatino Linotype"/>
          <w:sz w:val="24"/>
        </w:rPr>
        <w:t>e and I think</w:t>
      </w:r>
      <w:r w:rsidR="00C51463">
        <w:rPr>
          <w:rFonts w:ascii="Palatino Linotype" w:hAnsi="Palatino Linotype"/>
          <w:sz w:val="24"/>
        </w:rPr>
        <w:t>,</w:t>
      </w:r>
      <w:r>
        <w:rPr>
          <w:rFonts w:ascii="Palatino Linotype" w:hAnsi="Palatino Linotype"/>
          <w:sz w:val="24"/>
        </w:rPr>
        <w:t xml:space="preserve"> on the evidence of what I have seen, Complainant’s brought their own Deponents and had a Commission struck to take their depositions, which they paid for and the Defendants did likewise. In other words, there really was no cross-examination and the chosen Deponents for each side were selected carefully to give evidence that was supportive of the Complainant or the</w:t>
      </w:r>
      <w:r w:rsidR="00C51463">
        <w:rPr>
          <w:rFonts w:ascii="Palatino Linotype" w:hAnsi="Palatino Linotype"/>
          <w:sz w:val="24"/>
        </w:rPr>
        <w:t xml:space="preserve"> Defendants as the case may be.</w:t>
      </w:r>
      <w:bookmarkStart w:id="0" w:name="_GoBack"/>
      <w:bookmarkEnd w:id="0"/>
    </w:p>
    <w:sectPr w:rsidR="00C06A6C" w:rsidRPr="00C06A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4BC" w:rsidRDefault="005324BC" w:rsidP="00C06A6C">
      <w:r>
        <w:separator/>
      </w:r>
    </w:p>
  </w:endnote>
  <w:endnote w:type="continuationSeparator" w:id="0">
    <w:p w:rsidR="005324BC" w:rsidRDefault="005324BC" w:rsidP="00C0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4BC" w:rsidRDefault="005324BC" w:rsidP="00C06A6C">
      <w:r>
        <w:separator/>
      </w:r>
    </w:p>
  </w:footnote>
  <w:footnote w:type="continuationSeparator" w:id="0">
    <w:p w:rsidR="005324BC" w:rsidRDefault="005324BC" w:rsidP="00C06A6C">
      <w:r>
        <w:continuationSeparator/>
      </w:r>
    </w:p>
  </w:footnote>
  <w:footnote w:id="1">
    <w:p w:rsidR="00C06A6C" w:rsidRPr="001D72DF" w:rsidRDefault="00C06A6C" w:rsidP="00C06A6C">
      <w:pPr>
        <w:pStyle w:val="FootnoteText"/>
        <w:rPr>
          <w:lang w:val="en-CA"/>
        </w:rPr>
      </w:pPr>
      <w:r>
        <w:rPr>
          <w:rStyle w:val="FootnoteReference"/>
        </w:rPr>
        <w:footnoteRef/>
      </w:r>
      <w:r>
        <w:t xml:space="preserve"> </w:t>
      </w:r>
      <w:r>
        <w:rPr>
          <w:lang w:val="en-CA"/>
        </w:rPr>
        <w:t>This transcript prepared by Susan Moore, a researcher specialising in Chancery Court cases. I have not seen the original entry and there are possibly errors in some of the wording but in the main this is the substance of this Order.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A6C"/>
    <w:rsid w:val="00046064"/>
    <w:rsid w:val="00175ABD"/>
    <w:rsid w:val="002E4120"/>
    <w:rsid w:val="003F7130"/>
    <w:rsid w:val="005324BC"/>
    <w:rsid w:val="006E328E"/>
    <w:rsid w:val="00C06A6C"/>
    <w:rsid w:val="00C514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6C"/>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6A6C"/>
  </w:style>
  <w:style w:type="character" w:customStyle="1" w:styleId="FootnoteTextChar">
    <w:name w:val="Footnote Text Char"/>
    <w:basedOn w:val="DefaultParagraphFont"/>
    <w:link w:val="FootnoteText"/>
    <w:uiPriority w:val="99"/>
    <w:semiHidden/>
    <w:rsid w:val="00C06A6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06A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A6C"/>
    <w:pPr>
      <w:spacing w:after="0"/>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06A6C"/>
  </w:style>
  <w:style w:type="character" w:customStyle="1" w:styleId="FootnoteTextChar">
    <w:name w:val="Footnote Text Char"/>
    <w:basedOn w:val="DefaultParagraphFont"/>
    <w:link w:val="FootnoteText"/>
    <w:uiPriority w:val="99"/>
    <w:semiHidden/>
    <w:rsid w:val="00C06A6C"/>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C06A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2</cp:revision>
  <dcterms:created xsi:type="dcterms:W3CDTF">2016-05-24T21:17:00Z</dcterms:created>
  <dcterms:modified xsi:type="dcterms:W3CDTF">2016-06-05T17:09:00Z</dcterms:modified>
</cp:coreProperties>
</file>