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64F" w:rsidRDefault="00F3064F" w:rsidP="00F3064F">
      <w:pPr>
        <w:contextualSpacing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>THE NATIONAL ARCHIVES</w:t>
      </w:r>
    </w:p>
    <w:p w:rsidR="00F3064F" w:rsidRDefault="00F3064F" w:rsidP="00F3064F">
      <w:pPr>
        <w:contextualSpacing/>
        <w:rPr>
          <w:rFonts w:ascii="Palatino Linotype" w:hAnsi="Palatino Linotype"/>
          <w:b/>
          <w:sz w:val="24"/>
        </w:rPr>
      </w:pPr>
    </w:p>
    <w:p w:rsidR="00F3064F" w:rsidRDefault="00F3064F" w:rsidP="00F3064F">
      <w:pPr>
        <w:contextualSpacing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>CHANCERY DECREES AND ORDERS</w:t>
      </w:r>
    </w:p>
    <w:p w:rsidR="00F3064F" w:rsidRDefault="00F3064F" w:rsidP="00F3064F">
      <w:pPr>
        <w:contextualSpacing/>
        <w:rPr>
          <w:rFonts w:ascii="Palatino Linotype" w:hAnsi="Palatino Linotype"/>
          <w:b/>
          <w:sz w:val="24"/>
        </w:rPr>
      </w:pPr>
    </w:p>
    <w:p w:rsidR="00F3064F" w:rsidRDefault="00F3064F" w:rsidP="00F3064F">
      <w:pPr>
        <w:spacing w:after="120"/>
        <w:contextualSpacing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>Calendars of Orders and Decrees</w:t>
      </w:r>
    </w:p>
    <w:p w:rsidR="00F3064F" w:rsidRDefault="00F3064F" w:rsidP="00F3064F">
      <w:pPr>
        <w:spacing w:after="120"/>
        <w:contextualSpacing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These are arranged chronologically by law term, then alphabetically by the initial letter of the surname of the principal plaintiff</w:t>
      </w:r>
    </w:p>
    <w:p w:rsidR="00F3064F" w:rsidRDefault="00F3064F" w:rsidP="00F3064F">
      <w:pPr>
        <w:contextualSpacing/>
        <w:rPr>
          <w:rFonts w:ascii="Palatino Linotype" w:hAnsi="Palatino Linotype"/>
          <w:i/>
          <w:sz w:val="24"/>
        </w:rPr>
      </w:pPr>
      <w:r>
        <w:rPr>
          <w:rFonts w:ascii="Palatino Linotype" w:hAnsi="Palatino Linotype"/>
          <w:i/>
          <w:sz w:val="24"/>
        </w:rPr>
        <w:t>Search for all Morry entries 1811 to 1822</w:t>
      </w:r>
    </w:p>
    <w:p w:rsidR="00F3064F" w:rsidRDefault="00F3064F" w:rsidP="00F3064F">
      <w:pPr>
        <w:contextualSpacing/>
        <w:rPr>
          <w:rFonts w:ascii="Palatino Linotype" w:hAnsi="Palatino Linotype"/>
          <w:b/>
          <w:sz w:val="24"/>
        </w:rPr>
      </w:pPr>
    </w:p>
    <w:p w:rsidR="00F3064F" w:rsidRPr="00B73508" w:rsidRDefault="00F3064F" w:rsidP="00F3064F">
      <w:pPr>
        <w:contextualSpacing/>
        <w:rPr>
          <w:rFonts w:ascii="Palatino Linotype" w:hAnsi="Palatino Linotype"/>
          <w:b/>
          <w:sz w:val="24"/>
        </w:rPr>
      </w:pPr>
      <w:r w:rsidRPr="00B73508">
        <w:rPr>
          <w:rFonts w:ascii="Palatino Linotype" w:hAnsi="Palatino Linotype"/>
          <w:b/>
          <w:sz w:val="24"/>
        </w:rPr>
        <w:t>IND 1/10699/</w:t>
      </w:r>
      <w:r>
        <w:rPr>
          <w:rFonts w:ascii="Palatino Linotype" w:hAnsi="Palatino Linotype"/>
          <w:b/>
          <w:sz w:val="24"/>
        </w:rPr>
        <w:t>44</w:t>
      </w:r>
    </w:p>
    <w:p w:rsidR="00B206CC" w:rsidRDefault="00B206CC" w:rsidP="00B206CC">
      <w:pPr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Michaelmas 1822 to Trinity 1823</w:t>
      </w:r>
    </w:p>
    <w:p w:rsidR="00B206CC" w:rsidRDefault="00B206CC" w:rsidP="00B206CC">
      <w:pPr>
        <w:tabs>
          <w:tab w:val="left" w:pos="2880"/>
          <w:tab w:val="left" w:pos="4680"/>
        </w:tabs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Trinity 1823</w:t>
      </w:r>
    </w:p>
    <w:p w:rsidR="00F3064F" w:rsidRDefault="00F3064F" w:rsidP="00F3064F">
      <w:pPr>
        <w:tabs>
          <w:tab w:val="left" w:pos="2880"/>
          <w:tab w:val="left" w:pos="4680"/>
        </w:tabs>
        <w:contextualSpacing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Morry v Prideaux</w:t>
      </w:r>
      <w:r>
        <w:rPr>
          <w:rFonts w:ascii="Palatino Linotype" w:hAnsi="Palatino Linotype"/>
          <w:sz w:val="24"/>
        </w:rPr>
        <w:tab/>
        <w:t>folio 1288</w:t>
      </w:r>
      <w:r>
        <w:rPr>
          <w:rFonts w:ascii="Palatino Linotype" w:hAnsi="Palatino Linotype"/>
          <w:sz w:val="24"/>
        </w:rPr>
        <w:tab/>
        <w:t>C 33/711</w:t>
      </w:r>
    </w:p>
    <w:p w:rsidR="00F3064F" w:rsidRDefault="00F3064F" w:rsidP="00F3064F">
      <w:pPr>
        <w:tabs>
          <w:tab w:val="left" w:pos="2880"/>
          <w:tab w:val="left" w:pos="4680"/>
        </w:tabs>
        <w:contextualSpacing/>
        <w:rPr>
          <w:rFonts w:ascii="Palatino Linotype" w:hAnsi="Palatino Linotype"/>
          <w:sz w:val="24"/>
        </w:rPr>
      </w:pPr>
    </w:p>
    <w:p w:rsidR="00F3064F" w:rsidRDefault="00F3064F" w:rsidP="00F3064F">
      <w:pPr>
        <w:contextualSpacing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>Original documents</w:t>
      </w:r>
    </w:p>
    <w:p w:rsidR="00F3064F" w:rsidRDefault="00F3064F" w:rsidP="00F3064F">
      <w:pPr>
        <w:contextualSpacing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ab/>
      </w:r>
      <w:r>
        <w:rPr>
          <w:rFonts w:ascii="Palatino Linotype" w:hAnsi="Palatino Linotype"/>
          <w:b/>
          <w:sz w:val="24"/>
        </w:rPr>
        <w:tab/>
      </w:r>
      <w:r>
        <w:rPr>
          <w:rFonts w:ascii="Palatino Linotype" w:hAnsi="Palatino Linotype"/>
          <w:b/>
          <w:sz w:val="24"/>
        </w:rPr>
        <w:tab/>
      </w:r>
      <w:r>
        <w:rPr>
          <w:rFonts w:ascii="Palatino Linotype" w:hAnsi="Palatino Linotype"/>
          <w:b/>
          <w:sz w:val="24"/>
        </w:rPr>
        <w:tab/>
      </w:r>
      <w:r>
        <w:rPr>
          <w:rFonts w:ascii="Palatino Linotype" w:hAnsi="Palatino Linotype"/>
          <w:b/>
          <w:sz w:val="24"/>
        </w:rPr>
        <w:tab/>
      </w:r>
      <w:r>
        <w:rPr>
          <w:rFonts w:ascii="Palatino Linotype" w:hAnsi="Palatino Linotype"/>
          <w:b/>
          <w:sz w:val="24"/>
        </w:rPr>
        <w:tab/>
      </w:r>
      <w:r>
        <w:rPr>
          <w:rFonts w:ascii="Palatino Linotype" w:hAnsi="Palatino Linotype"/>
          <w:b/>
          <w:sz w:val="24"/>
        </w:rPr>
        <w:tab/>
      </w:r>
      <w:r>
        <w:t>Saturday 5 July 1823</w:t>
      </w:r>
    </w:p>
    <w:p w:rsidR="00F3064F" w:rsidRPr="00430C15" w:rsidRDefault="00F3064F" w:rsidP="00F3064F">
      <w:r>
        <w:t>Jn</w:t>
      </w:r>
      <w:r w:rsidRPr="001503EB">
        <w:rPr>
          <w:vertAlign w:val="superscript"/>
        </w:rPr>
        <w:t>o.</w:t>
      </w:r>
      <w:r>
        <w:t xml:space="preserve"> Morry an Infant by Nich</w:t>
      </w:r>
      <w:r>
        <w:rPr>
          <w:vertAlign w:val="superscript"/>
        </w:rPr>
        <w:t>l.</w:t>
      </w:r>
      <w:r>
        <w:t xml:space="preserve"> Brand</w:t>
      </w:r>
      <w:r w:rsidRPr="001503EB">
        <w:t xml:space="preserve"> </w:t>
      </w:r>
      <w:r>
        <w:t xml:space="preserve">his </w:t>
      </w:r>
      <w:r>
        <w:tab/>
      </w:r>
      <w:r>
        <w:tab/>
        <w:t>}   Upon the humble submission of the above named Defendant</w:t>
      </w:r>
    </w:p>
    <w:p w:rsidR="00F3064F" w:rsidRDefault="00F3064F" w:rsidP="00F3064F">
      <w:r>
        <w:t>next friend                                    Plaintiff</w:t>
      </w:r>
      <w:r>
        <w:tab/>
      </w:r>
      <w:r>
        <w:tab/>
        <w:t>}  Walter Prideaux this day preferring unto the Rt. Hon.</w:t>
      </w:r>
    </w:p>
    <w:p w:rsidR="00F3064F" w:rsidRDefault="00F3064F" w:rsidP="00F3064F">
      <w:r>
        <w:t>Walter Prideaux Matt</w:t>
      </w:r>
      <w:r w:rsidRPr="001503EB">
        <w:rPr>
          <w:vertAlign w:val="superscript"/>
        </w:rPr>
        <w:t>w.</w:t>
      </w:r>
      <w:r>
        <w:t xml:space="preserve"> Morry and</w:t>
      </w:r>
      <w:r>
        <w:tab/>
      </w:r>
      <w:r>
        <w:tab/>
      </w:r>
      <w:r>
        <w:tab/>
        <w:t>}  the Lord High Chancellor of Great Britain for the</w:t>
      </w:r>
    </w:p>
    <w:p w:rsidR="00F3064F" w:rsidRDefault="00F3064F" w:rsidP="00F3064F">
      <w:r>
        <w:t>W</w:t>
      </w:r>
      <w:r w:rsidRPr="001503EB">
        <w:rPr>
          <w:vertAlign w:val="superscript"/>
        </w:rPr>
        <w:t>m.</w:t>
      </w:r>
      <w:r>
        <w:rPr>
          <w:vertAlign w:val="superscript"/>
        </w:rPr>
        <w:t xml:space="preserve"> </w:t>
      </w:r>
      <w:r>
        <w:t>Cholwich Hunt               Defendants</w:t>
      </w:r>
      <w:r>
        <w:tab/>
      </w:r>
      <w:r>
        <w:tab/>
        <w:t>}  reasons therein Contained It is Ordered that the exception</w:t>
      </w:r>
    </w:p>
    <w:p w:rsidR="00F3064F" w:rsidRDefault="00F3064F" w:rsidP="00F3064F">
      <w:r>
        <w:t>taken by the Defendant to the report of Mr. Stephen one of the Masters of this Court dated the 17</w:t>
      </w:r>
      <w:r w:rsidRPr="00F3064F">
        <w:rPr>
          <w:vertAlign w:val="superscript"/>
        </w:rPr>
        <w:t>th</w:t>
      </w:r>
      <w:r>
        <w:t xml:space="preserve"> day of</w:t>
      </w:r>
    </w:p>
    <w:p w:rsidR="00F3064F" w:rsidRDefault="00F3064F" w:rsidP="00F3064F">
      <w:r>
        <w:t>May 1823 be set down to be argued before his Lordship next after the exception already appealed</w:t>
      </w:r>
    </w:p>
    <w:p w:rsidR="00F3064F" w:rsidRDefault="00F3064F" w:rsidP="00F3064F">
      <w:r>
        <w:t>But the same is to be set down in four days or else this order is to be of no effect and hereof Notice</w:t>
      </w:r>
    </w:p>
    <w:p w:rsidR="00F3064F" w:rsidRDefault="00F3064F" w:rsidP="00F3064F">
      <w:r>
        <w:t>is to be given forthwith.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J. W.</w:t>
      </w:r>
    </w:p>
    <w:p w:rsidR="00046064" w:rsidRDefault="00046064"/>
    <w:p w:rsidR="00CE3525" w:rsidRDefault="00CE3525" w:rsidP="00CE3525">
      <w:pPr>
        <w:rPr>
          <w:rFonts w:ascii="Palatino Linotype" w:hAnsi="Palatino Linotype"/>
          <w:b/>
          <w:sz w:val="24"/>
        </w:rPr>
      </w:pPr>
      <w:bookmarkStart w:id="0" w:name="_GoBack"/>
      <w:r>
        <w:rPr>
          <w:rFonts w:ascii="Palatino Linotype" w:hAnsi="Palatino Linotype"/>
          <w:b/>
          <w:sz w:val="24"/>
        </w:rPr>
        <w:t>Editorial Comments:</w:t>
      </w:r>
    </w:p>
    <w:p w:rsidR="00CE3525" w:rsidRDefault="00CE3525" w:rsidP="00CE3525">
      <w:pPr>
        <w:rPr>
          <w:rFonts w:ascii="Palatino Linotype" w:hAnsi="Palatino Linotype"/>
          <w:sz w:val="24"/>
        </w:rPr>
      </w:pPr>
    </w:p>
    <w:p w:rsidR="00CE3525" w:rsidRDefault="00CE3525" w:rsidP="00CE3525">
      <w:r>
        <w:rPr>
          <w:rFonts w:ascii="Palatino Linotype" w:hAnsi="Palatino Linotype"/>
          <w:sz w:val="24"/>
        </w:rPr>
        <w:t>This is another in a seemingly endless series of delaying tactics employed by</w:t>
      </w:r>
      <w:r>
        <w:rPr>
          <w:rFonts w:ascii="Palatino Linotype" w:hAnsi="Palatino Linotype"/>
          <w:sz w:val="24"/>
        </w:rPr>
        <w:t xml:space="preserve"> Prideaux, </w:t>
      </w:r>
      <w:r>
        <w:rPr>
          <w:rFonts w:ascii="Palatino Linotype" w:hAnsi="Palatino Linotype"/>
          <w:sz w:val="24"/>
        </w:rPr>
        <w:t xml:space="preserve">theoretically at least </w:t>
      </w:r>
      <w:r>
        <w:rPr>
          <w:rFonts w:ascii="Palatino Linotype" w:hAnsi="Palatino Linotype"/>
          <w:sz w:val="24"/>
        </w:rPr>
        <w:t>on behalf of his fellow defendants, Matthew Morry and William Cholwich Hunt</w:t>
      </w:r>
      <w:r>
        <w:rPr>
          <w:rFonts w:ascii="Palatino Linotype" w:hAnsi="Palatino Linotype"/>
          <w:sz w:val="24"/>
        </w:rPr>
        <w:t xml:space="preserve"> as well</w:t>
      </w:r>
      <w:r>
        <w:rPr>
          <w:rFonts w:ascii="Palatino Linotype" w:hAnsi="Palatino Linotype"/>
          <w:sz w:val="24"/>
        </w:rPr>
        <w:t xml:space="preserve">, </w:t>
      </w:r>
      <w:r>
        <w:rPr>
          <w:rFonts w:ascii="Palatino Linotype" w:hAnsi="Palatino Linotype"/>
          <w:sz w:val="24"/>
        </w:rPr>
        <w:t>but more likely for his own ends solely, to delay the final sett</w:t>
      </w:r>
      <w:r w:rsidR="008F11BA">
        <w:rPr>
          <w:rFonts w:ascii="Palatino Linotype" w:hAnsi="Palatino Linotype"/>
          <w:sz w:val="24"/>
        </w:rPr>
        <w:t>lement and accede to the O</w:t>
      </w:r>
      <w:r>
        <w:rPr>
          <w:rFonts w:ascii="Palatino Linotype" w:hAnsi="Palatino Linotype"/>
          <w:sz w:val="24"/>
        </w:rPr>
        <w:t>rder brought down by the Court more than two years previous.</w:t>
      </w:r>
      <w:bookmarkEnd w:id="0"/>
    </w:p>
    <w:sectPr w:rsidR="00CE3525" w:rsidSect="00F3064F">
      <w:pgSz w:w="12240" w:h="15840"/>
      <w:pgMar w:top="510" w:right="720" w:bottom="51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8AA"/>
    <w:rsid w:val="00046064"/>
    <w:rsid w:val="002E4120"/>
    <w:rsid w:val="006E328E"/>
    <w:rsid w:val="008E68AA"/>
    <w:rsid w:val="008F11BA"/>
    <w:rsid w:val="00B206CC"/>
    <w:rsid w:val="00CE3525"/>
    <w:rsid w:val="00F3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64F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64F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1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</dc:creator>
  <cp:keywords/>
  <dc:description/>
  <cp:lastModifiedBy>CJ</cp:lastModifiedBy>
  <cp:revision>6</cp:revision>
  <dcterms:created xsi:type="dcterms:W3CDTF">2016-06-16T02:49:00Z</dcterms:created>
  <dcterms:modified xsi:type="dcterms:W3CDTF">2016-06-16T03:31:00Z</dcterms:modified>
</cp:coreProperties>
</file>